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57" w:rsidRDefault="003E44D7" w:rsidP="003E44D7">
      <w:pPr>
        <w:widowControl/>
        <w:shd w:val="clear" w:color="auto" w:fill="FFFFFF"/>
        <w:spacing w:line="313" w:lineRule="atLeast"/>
        <w:jc w:val="center"/>
        <w:rPr>
          <w:rFonts w:ascii="宋体" w:eastAsia="宋体" w:hAnsi="宋体" w:cs="宋体" w:hint="eastAsia"/>
          <w:b/>
          <w:bCs/>
          <w:color w:val="0066FF"/>
          <w:kern w:val="0"/>
          <w:sz w:val="22"/>
        </w:rPr>
      </w:pPr>
      <w:r w:rsidRPr="00884884">
        <w:rPr>
          <w:rFonts w:ascii="宋体" w:eastAsia="宋体" w:hAnsi="宋体" w:cs="宋体" w:hint="eastAsia"/>
          <w:b/>
          <w:bCs/>
          <w:color w:val="0066FF"/>
          <w:kern w:val="0"/>
          <w:sz w:val="22"/>
        </w:rPr>
        <w:t>财政部 国家税务总局</w:t>
      </w:r>
    </w:p>
    <w:p w:rsidR="003E44D7" w:rsidRPr="00884884" w:rsidRDefault="003E44D7" w:rsidP="003E44D7">
      <w:pPr>
        <w:widowControl/>
        <w:shd w:val="clear" w:color="auto" w:fill="FFFFFF"/>
        <w:spacing w:line="313" w:lineRule="atLeast"/>
        <w:jc w:val="center"/>
        <w:rPr>
          <w:rFonts w:ascii="宋体" w:eastAsia="宋体" w:hAnsi="宋体" w:cs="宋体"/>
          <w:color w:val="000000"/>
          <w:kern w:val="0"/>
          <w:sz w:val="22"/>
          <w:szCs w:val="18"/>
        </w:rPr>
      </w:pPr>
      <w:r w:rsidRPr="00884884">
        <w:rPr>
          <w:rFonts w:ascii="宋体" w:eastAsia="宋体" w:hAnsi="宋体" w:cs="宋体" w:hint="eastAsia"/>
          <w:b/>
          <w:bCs/>
          <w:color w:val="FF0000"/>
          <w:kern w:val="0"/>
          <w:sz w:val="22"/>
        </w:rPr>
        <w:t>关于进一步完善固定资产加速折旧企业所得税政策的通知</w:t>
      </w:r>
    </w:p>
    <w:p w:rsidR="003E44D7" w:rsidRPr="00884884" w:rsidRDefault="003E44D7" w:rsidP="003E44D7">
      <w:pPr>
        <w:widowControl/>
        <w:shd w:val="clear" w:color="auto" w:fill="FFFFFF"/>
        <w:spacing w:line="313" w:lineRule="atLeast"/>
        <w:jc w:val="center"/>
        <w:rPr>
          <w:rFonts w:ascii="宋体" w:eastAsia="宋体" w:hAnsi="宋体" w:cs="宋体"/>
          <w:color w:val="000000"/>
          <w:kern w:val="0"/>
          <w:sz w:val="22"/>
          <w:szCs w:val="18"/>
        </w:rPr>
      </w:pPr>
      <w:r w:rsidRPr="00884884">
        <w:rPr>
          <w:rFonts w:ascii="宋体" w:eastAsia="宋体" w:hAnsi="宋体" w:cs="宋体" w:hint="eastAsia"/>
          <w:b/>
          <w:bCs/>
          <w:color w:val="000000"/>
          <w:kern w:val="0"/>
          <w:sz w:val="22"/>
        </w:rPr>
        <w:t>财税〔2015〕106号</w:t>
      </w:r>
    </w:p>
    <w:p w:rsidR="003E44D7" w:rsidRPr="00884884" w:rsidRDefault="003E44D7" w:rsidP="003E44D7">
      <w:pPr>
        <w:widowControl/>
        <w:shd w:val="clear" w:color="auto" w:fill="FFFFFF"/>
        <w:spacing w:before="125" w:line="313" w:lineRule="atLeast"/>
        <w:jc w:val="left"/>
        <w:rPr>
          <w:rFonts w:ascii="宋体" w:eastAsia="宋体" w:hAnsi="宋体" w:cs="宋体"/>
          <w:color w:val="000000"/>
          <w:kern w:val="0"/>
          <w:sz w:val="22"/>
          <w:szCs w:val="18"/>
        </w:rPr>
      </w:pPr>
      <w:r w:rsidRPr="00884884">
        <w:rPr>
          <w:rFonts w:ascii="宋体" w:eastAsia="宋体" w:hAnsi="宋体" w:cs="宋体" w:hint="eastAsia"/>
          <w:color w:val="000000"/>
          <w:kern w:val="0"/>
          <w:sz w:val="22"/>
          <w:szCs w:val="18"/>
        </w:rPr>
        <w:t>各省、自治区、直辖市、计划单列市财政厅（局）、国家税务局、地方税务局，新疆生产建设兵团财务局：</w:t>
      </w:r>
    </w:p>
    <w:p w:rsidR="003E44D7" w:rsidRPr="00884884" w:rsidRDefault="003E44D7" w:rsidP="003E44D7">
      <w:pPr>
        <w:widowControl/>
        <w:shd w:val="clear" w:color="auto" w:fill="FFFFFF"/>
        <w:spacing w:before="125" w:line="313" w:lineRule="atLeast"/>
        <w:jc w:val="left"/>
        <w:rPr>
          <w:rFonts w:ascii="宋体" w:eastAsia="宋体" w:hAnsi="宋体" w:cs="宋体"/>
          <w:color w:val="000000"/>
          <w:kern w:val="0"/>
          <w:sz w:val="22"/>
          <w:szCs w:val="18"/>
        </w:rPr>
      </w:pPr>
      <w:r w:rsidRPr="00884884">
        <w:rPr>
          <w:rFonts w:ascii="宋体" w:eastAsia="宋体" w:hAnsi="宋体" w:cs="宋体" w:hint="eastAsia"/>
          <w:color w:val="000000"/>
          <w:kern w:val="0"/>
          <w:sz w:val="22"/>
          <w:szCs w:val="18"/>
        </w:rPr>
        <w:t xml:space="preserve">　　根据国务院常务会议的有关决定精神，现就有关固定资产加速折旧企业所得税政策问题通知如下：</w:t>
      </w:r>
    </w:p>
    <w:p w:rsidR="003E44D7" w:rsidRPr="00884884" w:rsidRDefault="003E44D7" w:rsidP="003E44D7">
      <w:pPr>
        <w:widowControl/>
        <w:shd w:val="clear" w:color="auto" w:fill="FFFFFF"/>
        <w:spacing w:before="125" w:line="313" w:lineRule="atLeast"/>
        <w:jc w:val="left"/>
        <w:rPr>
          <w:rFonts w:ascii="宋体" w:eastAsia="宋体" w:hAnsi="宋体" w:cs="宋体"/>
          <w:color w:val="000000"/>
          <w:kern w:val="0"/>
          <w:sz w:val="22"/>
          <w:szCs w:val="18"/>
        </w:rPr>
      </w:pPr>
      <w:r w:rsidRPr="00884884">
        <w:rPr>
          <w:rFonts w:ascii="宋体" w:eastAsia="宋体" w:hAnsi="宋体" w:cs="宋体" w:hint="eastAsia"/>
          <w:color w:val="000000"/>
          <w:kern w:val="0"/>
          <w:sz w:val="22"/>
          <w:szCs w:val="18"/>
        </w:rPr>
        <w:t xml:space="preserve">　　一、对轻工、纺织、机械、汽车等四个领域重点行业（具体范围见附件）的企业2015年1月1日后新购进的固定资产，可由企业选择缩短折旧年限或采取加速折旧的方法。</w:t>
      </w:r>
    </w:p>
    <w:p w:rsidR="003E44D7" w:rsidRPr="00884884" w:rsidRDefault="003E44D7" w:rsidP="003E44D7">
      <w:pPr>
        <w:widowControl/>
        <w:shd w:val="clear" w:color="auto" w:fill="FFFFFF"/>
        <w:spacing w:before="125" w:line="313" w:lineRule="atLeast"/>
        <w:jc w:val="left"/>
        <w:rPr>
          <w:rFonts w:ascii="宋体" w:eastAsia="宋体" w:hAnsi="宋体" w:cs="宋体"/>
          <w:color w:val="000000"/>
          <w:kern w:val="0"/>
          <w:sz w:val="22"/>
          <w:szCs w:val="18"/>
        </w:rPr>
      </w:pPr>
      <w:r w:rsidRPr="00884884">
        <w:rPr>
          <w:rFonts w:ascii="宋体" w:eastAsia="宋体" w:hAnsi="宋体" w:cs="宋体" w:hint="eastAsia"/>
          <w:color w:val="000000"/>
          <w:kern w:val="0"/>
          <w:sz w:val="22"/>
          <w:szCs w:val="18"/>
        </w:rPr>
        <w:t xml:space="preserve">　　二、对上述行业的小型微利企业2015年1月1日后新购进的研发和生产经营共用的仪器、设备，单位价值不超过100万元的，允许一次性计入当期成本费用在计算应纳税所得额时扣除，不再分年度计算折旧；单位价值超过100万元的，可由企业选择缩短折旧年限或采取加速折旧的方法。</w:t>
      </w:r>
    </w:p>
    <w:p w:rsidR="003E44D7" w:rsidRPr="00884884" w:rsidRDefault="003E44D7" w:rsidP="003E44D7">
      <w:pPr>
        <w:widowControl/>
        <w:shd w:val="clear" w:color="auto" w:fill="FFFFFF"/>
        <w:spacing w:before="125" w:line="313" w:lineRule="atLeast"/>
        <w:jc w:val="left"/>
        <w:rPr>
          <w:rFonts w:ascii="宋体" w:eastAsia="宋体" w:hAnsi="宋体" w:cs="宋体"/>
          <w:color w:val="000000"/>
          <w:kern w:val="0"/>
          <w:sz w:val="22"/>
          <w:szCs w:val="18"/>
        </w:rPr>
      </w:pPr>
      <w:r w:rsidRPr="00884884">
        <w:rPr>
          <w:rFonts w:ascii="宋体" w:eastAsia="宋体" w:hAnsi="宋体" w:cs="宋体" w:hint="eastAsia"/>
          <w:color w:val="000000"/>
          <w:kern w:val="0"/>
          <w:sz w:val="22"/>
          <w:szCs w:val="18"/>
        </w:rPr>
        <w:t xml:space="preserve">　　三、企业按本通知第一条、第二条规定缩短折旧年限的，最低折旧年限不得低于企业所得税法实施条例第六十条规定折旧年限的60%；采取加速折旧方法的，可采取双倍余额递减法或者年数总和法。</w:t>
      </w:r>
    </w:p>
    <w:p w:rsidR="003E44D7" w:rsidRPr="00884884" w:rsidRDefault="003E44D7" w:rsidP="003E44D7">
      <w:pPr>
        <w:widowControl/>
        <w:shd w:val="clear" w:color="auto" w:fill="FFFFFF"/>
        <w:spacing w:before="125" w:line="313" w:lineRule="atLeast"/>
        <w:jc w:val="left"/>
        <w:rPr>
          <w:rFonts w:ascii="宋体" w:eastAsia="宋体" w:hAnsi="宋体" w:cs="宋体"/>
          <w:color w:val="000000"/>
          <w:kern w:val="0"/>
          <w:sz w:val="22"/>
          <w:szCs w:val="18"/>
        </w:rPr>
      </w:pPr>
      <w:r w:rsidRPr="00884884">
        <w:rPr>
          <w:rFonts w:ascii="宋体" w:eastAsia="宋体" w:hAnsi="宋体" w:cs="宋体" w:hint="eastAsia"/>
          <w:color w:val="000000"/>
          <w:kern w:val="0"/>
          <w:sz w:val="22"/>
          <w:szCs w:val="18"/>
        </w:rPr>
        <w:t xml:space="preserve">　　按照企业所得税法及其实施条例有关规定，企业根据自身生产经营需要，也可选择不实行加速折旧政策。</w:t>
      </w:r>
    </w:p>
    <w:p w:rsidR="003E44D7" w:rsidRPr="00884884" w:rsidRDefault="003E44D7" w:rsidP="003E44D7">
      <w:pPr>
        <w:widowControl/>
        <w:shd w:val="clear" w:color="auto" w:fill="FFFFFF"/>
        <w:spacing w:before="125" w:line="313" w:lineRule="atLeast"/>
        <w:jc w:val="left"/>
        <w:rPr>
          <w:rFonts w:ascii="宋体" w:eastAsia="宋体" w:hAnsi="宋体" w:cs="宋体"/>
          <w:color w:val="000000"/>
          <w:kern w:val="0"/>
          <w:sz w:val="22"/>
          <w:szCs w:val="18"/>
        </w:rPr>
      </w:pPr>
      <w:r w:rsidRPr="00884884">
        <w:rPr>
          <w:rFonts w:ascii="宋体" w:eastAsia="宋体" w:hAnsi="宋体" w:cs="宋体" w:hint="eastAsia"/>
          <w:color w:val="000000"/>
          <w:kern w:val="0"/>
          <w:sz w:val="22"/>
          <w:szCs w:val="18"/>
        </w:rPr>
        <w:t xml:space="preserve">　　四、本通知自2015年1月1日起执行。2015年前3季度按本通知规定未能计算办理的，统一在2015年第4季度预缴申报时享受优惠或2015年度汇算清缴时办理。</w:t>
      </w:r>
    </w:p>
    <w:p w:rsidR="003E44D7" w:rsidRPr="00884884" w:rsidRDefault="003E44D7" w:rsidP="003E44D7">
      <w:pPr>
        <w:widowControl/>
        <w:shd w:val="clear" w:color="auto" w:fill="FFFFFF"/>
        <w:spacing w:before="125" w:line="313" w:lineRule="atLeast"/>
        <w:jc w:val="left"/>
        <w:rPr>
          <w:rFonts w:ascii="宋体" w:eastAsia="宋体" w:hAnsi="宋体" w:cs="宋体"/>
          <w:color w:val="000000"/>
          <w:kern w:val="0"/>
          <w:sz w:val="22"/>
          <w:szCs w:val="18"/>
        </w:rPr>
      </w:pPr>
      <w:r w:rsidRPr="00884884">
        <w:rPr>
          <w:rFonts w:ascii="宋体" w:eastAsia="宋体" w:hAnsi="宋体" w:cs="宋体" w:hint="eastAsia"/>
          <w:color w:val="000000"/>
          <w:kern w:val="0"/>
          <w:sz w:val="22"/>
          <w:szCs w:val="18"/>
        </w:rPr>
        <w:t xml:space="preserve">　　附件：轻工、纺织、机械、汽车四个领域重点行业范围</w:t>
      </w:r>
    </w:p>
    <w:p w:rsidR="00F66C57" w:rsidRDefault="003E44D7" w:rsidP="003E44D7">
      <w:pPr>
        <w:widowControl/>
        <w:shd w:val="clear" w:color="auto" w:fill="FFFFFF"/>
        <w:spacing w:line="313" w:lineRule="atLeast"/>
        <w:jc w:val="right"/>
        <w:rPr>
          <w:rFonts w:ascii="宋体" w:eastAsia="宋体" w:hAnsi="宋体" w:cs="宋体" w:hint="eastAsia"/>
          <w:color w:val="000000"/>
          <w:kern w:val="0"/>
          <w:sz w:val="22"/>
          <w:szCs w:val="18"/>
        </w:rPr>
      </w:pPr>
      <w:r w:rsidRPr="00884884">
        <w:rPr>
          <w:rFonts w:ascii="宋体" w:eastAsia="宋体" w:hAnsi="宋体" w:cs="宋体" w:hint="eastAsia"/>
          <w:color w:val="000000"/>
          <w:kern w:val="0"/>
          <w:sz w:val="22"/>
          <w:szCs w:val="18"/>
        </w:rPr>
        <w:t>财政部　国家税务总局</w:t>
      </w:r>
    </w:p>
    <w:p w:rsidR="003E44D7" w:rsidRPr="00884884" w:rsidRDefault="003E44D7" w:rsidP="003E44D7">
      <w:pPr>
        <w:widowControl/>
        <w:shd w:val="clear" w:color="auto" w:fill="FFFFFF"/>
        <w:spacing w:line="313" w:lineRule="atLeast"/>
        <w:jc w:val="right"/>
        <w:rPr>
          <w:rFonts w:ascii="宋体" w:eastAsia="宋体" w:hAnsi="宋体" w:cs="宋体"/>
          <w:color w:val="000000"/>
          <w:kern w:val="0"/>
          <w:sz w:val="22"/>
          <w:szCs w:val="18"/>
        </w:rPr>
      </w:pPr>
      <w:r w:rsidRPr="00884884">
        <w:rPr>
          <w:rFonts w:ascii="宋体" w:eastAsia="宋体" w:hAnsi="宋体" w:cs="宋体" w:hint="eastAsia"/>
          <w:color w:val="000000"/>
          <w:kern w:val="0"/>
          <w:sz w:val="22"/>
          <w:szCs w:val="18"/>
        </w:rPr>
        <w:t>2015年9月17日</w:t>
      </w:r>
    </w:p>
    <w:p w:rsidR="003E44D7" w:rsidRPr="003E44D7" w:rsidRDefault="003E44D7" w:rsidP="003E44D7">
      <w:pPr>
        <w:widowControl/>
        <w:shd w:val="clear" w:color="auto" w:fill="FFFFFF"/>
        <w:spacing w:line="313" w:lineRule="atLeast"/>
        <w:jc w:val="left"/>
        <w:rPr>
          <w:rFonts w:ascii="宋体" w:eastAsia="宋体" w:hAnsi="宋体" w:cs="宋体"/>
          <w:color w:val="000000"/>
          <w:kern w:val="0"/>
          <w:sz w:val="18"/>
          <w:szCs w:val="18"/>
        </w:rPr>
      </w:pPr>
      <w:r w:rsidRPr="003E44D7">
        <w:rPr>
          <w:rFonts w:ascii="宋体" w:eastAsia="宋体" w:hAnsi="宋体" w:cs="宋体" w:hint="eastAsia"/>
          <w:color w:val="000000"/>
          <w:kern w:val="0"/>
          <w:sz w:val="18"/>
          <w:szCs w:val="18"/>
        </w:rPr>
        <w:t> </w:t>
      </w:r>
    </w:p>
    <w:p w:rsidR="003E44D7" w:rsidRPr="003E44D7" w:rsidRDefault="003E44D7" w:rsidP="003E44D7">
      <w:pPr>
        <w:widowControl/>
        <w:shd w:val="clear" w:color="auto" w:fill="FFFFFF"/>
        <w:spacing w:before="63" w:after="63"/>
        <w:jc w:val="left"/>
        <w:rPr>
          <w:rFonts w:ascii="Arial" w:eastAsia="宋体" w:hAnsi="Arial" w:cs="Arial"/>
          <w:color w:val="000000"/>
          <w:kern w:val="0"/>
          <w:sz w:val="20"/>
          <w:szCs w:val="20"/>
        </w:rPr>
      </w:pPr>
      <w:r w:rsidRPr="003E44D7">
        <w:rPr>
          <w:rFonts w:ascii="Arial" w:eastAsia="宋体" w:hAnsi="Arial" w:cs="Arial"/>
          <w:b/>
          <w:bCs/>
          <w:color w:val="000000"/>
          <w:kern w:val="0"/>
          <w:sz w:val="20"/>
        </w:rPr>
        <w:t>附件</w:t>
      </w:r>
    </w:p>
    <w:p w:rsidR="003E44D7" w:rsidRPr="003E44D7" w:rsidRDefault="003E44D7" w:rsidP="003E44D7">
      <w:pPr>
        <w:widowControl/>
        <w:shd w:val="clear" w:color="auto" w:fill="FFFFFF"/>
        <w:spacing w:before="63" w:after="63"/>
        <w:jc w:val="left"/>
        <w:rPr>
          <w:rFonts w:ascii="Arial" w:eastAsia="宋体" w:hAnsi="Arial" w:cs="Arial"/>
          <w:color w:val="000000"/>
          <w:kern w:val="0"/>
          <w:sz w:val="20"/>
          <w:szCs w:val="20"/>
        </w:rPr>
      </w:pPr>
    </w:p>
    <w:p w:rsidR="003E44D7" w:rsidRPr="003E44D7" w:rsidRDefault="003E44D7" w:rsidP="003E44D7">
      <w:pPr>
        <w:widowControl/>
        <w:shd w:val="clear" w:color="auto" w:fill="FFFFFF"/>
        <w:spacing w:before="63" w:after="63"/>
        <w:jc w:val="center"/>
        <w:rPr>
          <w:rFonts w:ascii="Arial" w:eastAsia="宋体" w:hAnsi="Arial" w:cs="Arial"/>
          <w:color w:val="000000"/>
          <w:kern w:val="0"/>
          <w:sz w:val="20"/>
          <w:szCs w:val="20"/>
        </w:rPr>
      </w:pPr>
      <w:r w:rsidRPr="003E44D7">
        <w:rPr>
          <w:rFonts w:ascii="Arial" w:eastAsia="宋体" w:hAnsi="Arial" w:cs="Arial"/>
          <w:b/>
          <w:bCs/>
          <w:color w:val="000000"/>
          <w:kern w:val="0"/>
          <w:sz w:val="20"/>
        </w:rPr>
        <w:t>轻工、纺织、机械、汽车四个领域重点行业范围</w:t>
      </w:r>
    </w:p>
    <w:p w:rsidR="003E44D7" w:rsidRPr="003E44D7" w:rsidRDefault="003E44D7" w:rsidP="003E44D7">
      <w:pPr>
        <w:widowControl/>
        <w:shd w:val="clear" w:color="auto" w:fill="FFFFFF"/>
        <w:spacing w:before="63" w:after="63"/>
        <w:jc w:val="center"/>
        <w:rPr>
          <w:rFonts w:ascii="Arial" w:eastAsia="宋体" w:hAnsi="Arial" w:cs="Arial"/>
          <w:color w:val="000000"/>
          <w:kern w:val="0"/>
          <w:sz w:val="20"/>
          <w:szCs w:val="20"/>
        </w:rPr>
      </w:pPr>
      <w:r w:rsidRPr="003E44D7">
        <w:rPr>
          <w:rFonts w:ascii="Arial" w:eastAsia="宋体" w:hAnsi="Arial" w:cs="Arial"/>
          <w:color w:val="000000"/>
          <w:kern w:val="0"/>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555"/>
        <w:gridCol w:w="525"/>
        <w:gridCol w:w="1575"/>
        <w:gridCol w:w="3270"/>
        <w:gridCol w:w="1020"/>
      </w:tblGrid>
      <w:tr w:rsidR="003E44D7" w:rsidRPr="003E44D7" w:rsidTr="003E44D7">
        <w:trPr>
          <w:tblHeader/>
        </w:trPr>
        <w:tc>
          <w:tcPr>
            <w:tcW w:w="265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wordWrap w:val="0"/>
              <w:spacing w:before="100" w:beforeAutospacing="1" w:after="100" w:afterAutospacing="1" w:line="250" w:lineRule="atLeast"/>
              <w:jc w:val="center"/>
              <w:rPr>
                <w:rFonts w:ascii="Arial" w:eastAsia="宋体" w:hAnsi="Arial" w:cs="Arial"/>
                <w:color w:val="000000"/>
                <w:kern w:val="0"/>
                <w:sz w:val="20"/>
                <w:szCs w:val="20"/>
              </w:rPr>
            </w:pPr>
            <w:bookmarkStart w:id="0" w:name="_GoBack"/>
            <w:r w:rsidRPr="003E44D7">
              <w:rPr>
                <w:rFonts w:ascii="宋体" w:eastAsia="宋体" w:hAnsi="宋体" w:cs="Arial" w:hint="eastAsia"/>
                <w:b/>
                <w:bCs/>
                <w:color w:val="000000"/>
                <w:kern w:val="0"/>
                <w:sz w:val="20"/>
              </w:rPr>
              <w:t>代　　码</w:t>
            </w:r>
          </w:p>
        </w:tc>
        <w:tc>
          <w:tcPr>
            <w:tcW w:w="3270" w:type="dxa"/>
            <w:vMerge w:val="restart"/>
            <w:tcBorders>
              <w:top w:val="single" w:sz="4" w:space="0" w:color="auto"/>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类　别　名　称</w:t>
            </w:r>
          </w:p>
        </w:tc>
        <w:tc>
          <w:tcPr>
            <w:tcW w:w="1020" w:type="dxa"/>
            <w:vMerge w:val="restart"/>
            <w:tcBorders>
              <w:top w:val="single" w:sz="4" w:space="0" w:color="auto"/>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备  注</w:t>
            </w:r>
          </w:p>
        </w:tc>
      </w:tr>
      <w:tr w:rsidR="003E44D7" w:rsidRPr="003E44D7" w:rsidTr="003E44D7">
        <w:trPr>
          <w:tblHeader/>
        </w:trPr>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大类</w:t>
            </w: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中类</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小类</w:t>
            </w: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1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268</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 xml:space="preserve">　日用化学产品制造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轻工</w:t>
            </w:r>
          </w:p>
        </w:tc>
      </w:tr>
      <w:tr w:rsidR="003E44D7" w:rsidRPr="003E44D7" w:rsidTr="003E44D7">
        <w:tc>
          <w:tcPr>
            <w:tcW w:w="330"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4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2681</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肥皂及合成洗涤剂制造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34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2682</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化妆品制造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2683</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口腔清洁用品制造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2684</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香料、香精制造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2689</w:t>
            </w: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其他日用化学产品制造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27</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医药制造业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轻工</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271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化学药品原料药制造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272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化学药品制剂制造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273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中药饮片加工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274</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中成药生产</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275</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兽用药品制造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277</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卫生材料及医药用品制造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13</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农副食品加工业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轻工</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131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谷物磨制</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132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饲料加工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133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植物油加工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134</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制糖业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135</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屠宰及肉类加工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136</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水产品加工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137</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蔬菜、水果和坚果加工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139</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其他农副食品加工</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14</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食品制造业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轻工</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141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焙烤食品制造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142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糖果、巧克力及蜜饯制造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143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方便食品制造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144</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乳制品制造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145</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罐头食品制造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146</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调味品、发酵制品制造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149</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其他食品制造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17</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纺织业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纺织</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171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棉纺织及印染精加工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172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毛纺织及染整精加工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173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麻纺织及染整精加工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174</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丝绢纺织及印染精加工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175</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化纤织造及印染精加工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176</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针织或钩针编织物及其制品制造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177</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家用纺织制成品制造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178</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非家用纺织制成品制造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18</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纺织服装、服饰业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纺织</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181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机织服装制造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182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针织或钩针编织服装制造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183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服饰制造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single" w:sz="4" w:space="0" w:color="auto"/>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19</w:t>
            </w:r>
          </w:p>
        </w:tc>
        <w:tc>
          <w:tcPr>
            <w:tcW w:w="525" w:type="dxa"/>
            <w:tcBorders>
              <w:top w:val="single" w:sz="4" w:space="0" w:color="auto"/>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single" w:sz="4" w:space="0" w:color="auto"/>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single" w:sz="4" w:space="0" w:color="auto"/>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皮革、毛皮、羽毛及其制品和制鞋业</w:t>
            </w:r>
          </w:p>
        </w:tc>
        <w:tc>
          <w:tcPr>
            <w:tcW w:w="1020" w:type="dxa"/>
            <w:tcBorders>
              <w:top w:val="single" w:sz="4" w:space="0" w:color="auto"/>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轻工</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191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皮革鞣制加工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192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皮革制品制造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193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毛皮鞣制及制品加工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194</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羽毛(绒)加工及制品制造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195</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制鞋业</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20</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木材加工和木、竹、藤、棕、草制品业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轻工</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201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木材加工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202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人造板制造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203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木制品制造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204</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竹、藤、棕、草等制品制造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21</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家具制造业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轻工</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211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木质家具制造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212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竹、藤家具制造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213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金属家具制造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214</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塑料家具制造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219</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其他家具制造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22</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造纸和纸制品业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轻工</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221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纸浆制造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222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造纸</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223</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纸制品制造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23</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印刷和记录媒介复制业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轻工</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231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印刷</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232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装订及印刷相关服务</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233</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记录媒介复制</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24</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文教、工美、体育和娱乐用品制造业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轻工</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241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文教办公用品制造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242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乐器制造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243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工艺美术品制造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244</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体育用品制造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245</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玩具制造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28</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化学纤维制造业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纺织</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281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纤维素纤维原料及纤维制造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282</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合成纤维制造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292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 xml:space="preserve">　塑料制品业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轻工</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2921</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塑料薄膜制造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2922</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塑料板、管、型材制造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2923</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塑料丝、绳及编织品制造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2924</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泡沫塑料制造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2925</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塑料人造革、合成革制造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2926</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塑料包装箱及容器制造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2927</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日用塑料制品制造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2928</w:t>
            </w: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塑料零件制造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2929</w:t>
            </w: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其他塑料制品制造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33</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金属制品业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机械</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331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结构性金属制品制造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332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金属工具制造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333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集装箱及金属包装容器制造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334</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金属丝绳及其制品制造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335</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建筑、安全用金属制品制造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336</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金属表面处理及热处理加工</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337</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搪瓷制品制造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338</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金属制日用品制造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339</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其他金属制品制造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34</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通用设备制造业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机械</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341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锅炉及原动设备制造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342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金属加工机械制造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343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物料搬运设备制造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344</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泵、阀门、压缩机及类似机械制造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345</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轴承、齿轮和传动部件制造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346</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烘炉、风机、衡器、包装等设备制造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347</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文化、办公用机械制造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348</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通用零部件制造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349</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其他通用设备制造业</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36</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汽车制造业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汽车</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361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汽车整车制造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362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改装汽车制造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363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低速载货汽车制造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364</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电车制造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365</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汽车车身、挂车制造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366</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汽车零部件及配件制造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38</w:t>
            </w: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b/>
                <w:bCs/>
                <w:color w:val="000000"/>
                <w:kern w:val="0"/>
                <w:sz w:val="20"/>
              </w:rPr>
              <w:t>电气机械和器材制造业</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机械</w:t>
            </w: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381</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电机制造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382</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输配电及控制设备制造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383</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电线、电缆、光缆及电工器材制造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384</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电池制造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385</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家用电力器具制造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386</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非电力家用器具制造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387</w:t>
            </w:r>
          </w:p>
        </w:tc>
        <w:tc>
          <w:tcPr>
            <w:tcW w:w="54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照明器具制造</w:t>
            </w:r>
          </w:p>
        </w:tc>
        <w:tc>
          <w:tcPr>
            <w:tcW w:w="1020" w:type="dxa"/>
            <w:tcBorders>
              <w:top w:val="nil"/>
              <w:left w:val="nil"/>
              <w:bottom w:val="nil"/>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r w:rsidR="003E44D7" w:rsidRPr="003E44D7" w:rsidTr="003E44D7">
        <w:tc>
          <w:tcPr>
            <w:tcW w:w="555" w:type="dxa"/>
            <w:tcBorders>
              <w:top w:val="nil"/>
              <w:left w:val="single" w:sz="4" w:space="0" w:color="auto"/>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525"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before="100" w:beforeAutospacing="1" w:after="100" w:afterAutospacing="1"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389</w:t>
            </w:r>
          </w:p>
        </w:tc>
        <w:tc>
          <w:tcPr>
            <w:tcW w:w="54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c>
          <w:tcPr>
            <w:tcW w:w="327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spacing w:line="250" w:lineRule="atLeast"/>
              <w:jc w:val="center"/>
              <w:rPr>
                <w:rFonts w:ascii="Arial" w:eastAsia="宋体" w:hAnsi="Arial" w:cs="Arial"/>
                <w:color w:val="000000"/>
                <w:kern w:val="0"/>
                <w:sz w:val="20"/>
                <w:szCs w:val="20"/>
              </w:rPr>
            </w:pPr>
            <w:r w:rsidRPr="003E44D7">
              <w:rPr>
                <w:rFonts w:ascii="宋体" w:eastAsia="宋体" w:hAnsi="宋体" w:cs="Arial" w:hint="eastAsia"/>
                <w:color w:val="000000"/>
                <w:kern w:val="0"/>
                <w:sz w:val="20"/>
                <w:szCs w:val="20"/>
              </w:rPr>
              <w:t xml:space="preserve">　其他电气机械及器材制造</w:t>
            </w:r>
          </w:p>
        </w:tc>
        <w:tc>
          <w:tcPr>
            <w:tcW w:w="1020" w:type="dxa"/>
            <w:tcBorders>
              <w:top w:val="nil"/>
              <w:left w:val="nil"/>
              <w:bottom w:val="single" w:sz="4" w:space="0" w:color="auto"/>
              <w:right w:val="single" w:sz="4" w:space="0" w:color="auto"/>
            </w:tcBorders>
            <w:shd w:val="clear" w:color="auto" w:fill="FFFFFF"/>
            <w:tcMar>
              <w:top w:w="0" w:type="dxa"/>
              <w:left w:w="25" w:type="dxa"/>
              <w:bottom w:w="0" w:type="dxa"/>
              <w:right w:w="25" w:type="dxa"/>
            </w:tcMar>
            <w:vAlign w:val="center"/>
            <w:hideMark/>
          </w:tcPr>
          <w:p w:rsidR="003E44D7" w:rsidRPr="003E44D7" w:rsidRDefault="003E44D7" w:rsidP="003E44D7">
            <w:pPr>
              <w:widowControl/>
              <w:jc w:val="left"/>
              <w:rPr>
                <w:rFonts w:ascii="Arial" w:eastAsia="宋体" w:hAnsi="Arial" w:cs="Arial"/>
                <w:color w:val="000000"/>
                <w:kern w:val="0"/>
                <w:sz w:val="20"/>
                <w:szCs w:val="20"/>
              </w:rPr>
            </w:pPr>
          </w:p>
        </w:tc>
      </w:tr>
    </w:tbl>
    <w:bookmarkEnd w:id="0"/>
    <w:p w:rsidR="003E44D7" w:rsidRPr="003E44D7" w:rsidRDefault="003E44D7" w:rsidP="003E44D7">
      <w:pPr>
        <w:widowControl/>
        <w:shd w:val="clear" w:color="auto" w:fill="FFFFFF"/>
        <w:spacing w:before="63" w:after="63"/>
        <w:jc w:val="left"/>
        <w:rPr>
          <w:rFonts w:ascii="Arial" w:eastAsia="宋体" w:hAnsi="Arial" w:cs="Arial"/>
          <w:color w:val="000000"/>
          <w:kern w:val="0"/>
          <w:sz w:val="20"/>
          <w:szCs w:val="20"/>
        </w:rPr>
      </w:pPr>
      <w:r w:rsidRPr="003E44D7">
        <w:rPr>
          <w:rFonts w:ascii="Arial" w:eastAsia="宋体" w:hAnsi="Arial" w:cs="Arial"/>
          <w:color w:val="000000"/>
          <w:kern w:val="0"/>
          <w:sz w:val="20"/>
          <w:szCs w:val="20"/>
        </w:rPr>
        <w:t xml:space="preserve">　　注：以上代码和类别名称来自《国民经济行业分类（</w:t>
      </w:r>
      <w:r w:rsidRPr="003E44D7">
        <w:rPr>
          <w:rFonts w:ascii="Arial" w:eastAsia="宋体" w:hAnsi="Arial" w:cs="Arial"/>
          <w:color w:val="000000"/>
          <w:kern w:val="0"/>
          <w:sz w:val="20"/>
          <w:szCs w:val="20"/>
        </w:rPr>
        <w:t>GB/T 4754-2011</w:t>
      </w:r>
      <w:r w:rsidRPr="003E44D7">
        <w:rPr>
          <w:rFonts w:ascii="Arial" w:eastAsia="宋体" w:hAnsi="Arial" w:cs="Arial"/>
          <w:color w:val="000000"/>
          <w:kern w:val="0"/>
          <w:sz w:val="20"/>
          <w:szCs w:val="20"/>
        </w:rPr>
        <w:t>）》。</w:t>
      </w:r>
    </w:p>
    <w:p w:rsidR="001352FD" w:rsidRPr="003E44D7" w:rsidRDefault="001352FD"/>
    <w:sectPr w:rsidR="001352FD" w:rsidRPr="003E44D7" w:rsidSect="00135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4F3" w:rsidRDefault="00BC74F3" w:rsidP="007162DA">
      <w:r>
        <w:separator/>
      </w:r>
    </w:p>
  </w:endnote>
  <w:endnote w:type="continuationSeparator" w:id="0">
    <w:p w:rsidR="00BC74F3" w:rsidRDefault="00BC74F3" w:rsidP="0071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4F3" w:rsidRDefault="00BC74F3" w:rsidP="007162DA">
      <w:r>
        <w:separator/>
      </w:r>
    </w:p>
  </w:footnote>
  <w:footnote w:type="continuationSeparator" w:id="0">
    <w:p w:rsidR="00BC74F3" w:rsidRDefault="00BC74F3" w:rsidP="00716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4D7"/>
    <w:rsid w:val="001352FD"/>
    <w:rsid w:val="003E44D7"/>
    <w:rsid w:val="0069421F"/>
    <w:rsid w:val="007162DA"/>
    <w:rsid w:val="00884884"/>
    <w:rsid w:val="00B6017D"/>
    <w:rsid w:val="00BC74F3"/>
    <w:rsid w:val="00C05C47"/>
    <w:rsid w:val="00F66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44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44D7"/>
    <w:rPr>
      <w:b/>
      <w:bCs/>
    </w:rPr>
  </w:style>
  <w:style w:type="paragraph" w:styleId="a5">
    <w:name w:val="header"/>
    <w:basedOn w:val="a"/>
    <w:link w:val="Char"/>
    <w:uiPriority w:val="99"/>
    <w:unhideWhenUsed/>
    <w:rsid w:val="00716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162DA"/>
    <w:rPr>
      <w:sz w:val="18"/>
      <w:szCs w:val="18"/>
    </w:rPr>
  </w:style>
  <w:style w:type="paragraph" w:styleId="a6">
    <w:name w:val="footer"/>
    <w:basedOn w:val="a"/>
    <w:link w:val="Char0"/>
    <w:uiPriority w:val="99"/>
    <w:unhideWhenUsed/>
    <w:rsid w:val="007162DA"/>
    <w:pPr>
      <w:tabs>
        <w:tab w:val="center" w:pos="4153"/>
        <w:tab w:val="right" w:pos="8306"/>
      </w:tabs>
      <w:snapToGrid w:val="0"/>
      <w:jc w:val="left"/>
    </w:pPr>
    <w:rPr>
      <w:sz w:val="18"/>
      <w:szCs w:val="18"/>
    </w:rPr>
  </w:style>
  <w:style w:type="character" w:customStyle="1" w:styleId="Char0">
    <w:name w:val="页脚 Char"/>
    <w:basedOn w:val="a0"/>
    <w:link w:val="a6"/>
    <w:uiPriority w:val="99"/>
    <w:rsid w:val="007162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440</Words>
  <Characters>2513</Characters>
  <Application>Microsoft Office Word</Application>
  <DocSecurity>0</DocSecurity>
  <Lines>20</Lines>
  <Paragraphs>5</Paragraphs>
  <ScaleCrop>false</ScaleCrop>
  <Company>Microsoft</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tax</dc:creator>
  <cp:keywords/>
  <dc:description/>
  <cp:lastModifiedBy>admin</cp:lastModifiedBy>
  <cp:revision>4</cp:revision>
  <dcterms:created xsi:type="dcterms:W3CDTF">2015-09-22T07:32:00Z</dcterms:created>
  <dcterms:modified xsi:type="dcterms:W3CDTF">2015-11-04T07:55:00Z</dcterms:modified>
</cp:coreProperties>
</file>